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D71DF" w:rsidP="006E6B86">
            <w:r>
              <w:t>C</w:t>
            </w:r>
            <w:r w:rsidR="002E3217">
              <w:t>PL(H)4.____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2E3217" w:rsidRDefault="002E3217" w:rsidP="00CE4AF5">
            <w:pPr>
              <w:pStyle w:val="tablebullet1"/>
            </w:pPr>
            <w:r>
              <w:t xml:space="preserve">Introduction to </w:t>
            </w:r>
            <w:r w:rsidR="0065482E">
              <w:t>manoeuvring</w:t>
            </w:r>
            <w:r>
              <w:t xml:space="preserve"> the helicopter in hovering flight</w:t>
            </w:r>
          </w:p>
          <w:p w:rsidR="00667595" w:rsidRDefault="002E3217" w:rsidP="006E6B86">
            <w:pPr>
              <w:pStyle w:val="tablebullet1"/>
            </w:pPr>
            <w:r>
              <w:t>Primary and secondary effect of the controls</w:t>
            </w:r>
            <w:r w:rsidR="00201A04">
              <w:t xml:space="preserve"> in the hover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3326EA">
              <w:t xml:space="preserve">: 1.0 hour   </w:t>
            </w:r>
            <w:r w:rsidR="001530F0">
              <w:t xml:space="preserve"> Pre-flight</w:t>
            </w:r>
            <w:r w:rsidR="003326EA">
              <w:t xml:space="preserve"> Briefing: 0.3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3326EA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D47F5">
              <w:t>Hover</w:t>
            </w:r>
            <w:r w:rsidR="000D47F5" w:rsidRPr="008470A6">
              <w:t xml:space="preserve"> </w:t>
            </w:r>
            <w:bookmarkStart w:id="0" w:name="_GoBack"/>
            <w:bookmarkEnd w:id="0"/>
          </w:p>
          <w:p w:rsidR="00C259D4" w:rsidRDefault="003326EA" w:rsidP="00C259D4">
            <w:pPr>
              <w:pStyle w:val="tablebullet1"/>
            </w:pPr>
            <w:r>
              <w:t>Aerodynamics of hovering flight.</w:t>
            </w:r>
          </w:p>
          <w:p w:rsidR="003326EA" w:rsidRDefault="003326EA" w:rsidP="00C259D4">
            <w:pPr>
              <w:pStyle w:val="tablebullet1"/>
            </w:pPr>
            <w:r>
              <w:t>Primary and secondary effects of controls in the hover.</w:t>
            </w:r>
          </w:p>
          <w:p w:rsidR="003326EA" w:rsidRDefault="003326EA" w:rsidP="00C259D4">
            <w:pPr>
              <w:pStyle w:val="tablebullet1"/>
            </w:pPr>
            <w:r>
              <w:t>Ground effect</w:t>
            </w:r>
          </w:p>
          <w:p w:rsidR="003326EA" w:rsidRDefault="003326EA" w:rsidP="00C259D4">
            <w:pPr>
              <w:pStyle w:val="tablebullet1"/>
            </w:pPr>
            <w:r>
              <w:t>Effects of wind</w:t>
            </w:r>
          </w:p>
          <w:p w:rsidR="003326EA" w:rsidRDefault="003326EA" w:rsidP="00C259D4">
            <w:pPr>
              <w:pStyle w:val="tablebullet1"/>
            </w:pPr>
            <w:r>
              <w:t>Visual scan technique</w:t>
            </w:r>
          </w:p>
          <w:p w:rsidR="003326EA" w:rsidRPr="008462C8" w:rsidRDefault="003326EA" w:rsidP="00C259D4">
            <w:pPr>
              <w:pStyle w:val="tablebullet1"/>
            </w:pPr>
            <w:r>
              <w:t>Application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</w:p>
          <w:p w:rsidR="00152BC1" w:rsidRDefault="00152BC1" w:rsidP="00152BC1">
            <w:pPr>
              <w:pStyle w:val="tablebullet1"/>
            </w:pPr>
            <w:r>
              <w:t>Review/expand previously introduced knowledge as required</w:t>
            </w:r>
          </w:p>
          <w:p w:rsidR="000C7F9E" w:rsidRDefault="000C7F9E" w:rsidP="00152BC1">
            <w:pPr>
              <w:pStyle w:val="tablebullet1"/>
            </w:pPr>
            <w:r>
              <w:t>Minimum equipment list [C2(c)]</w:t>
            </w:r>
          </w:p>
          <w:p w:rsidR="00E33F2A" w:rsidRDefault="00152BC1" w:rsidP="00C259D4">
            <w:pPr>
              <w:pStyle w:val="tablebullet1"/>
            </w:pPr>
            <w:r>
              <w:t>L</w:t>
            </w:r>
            <w:r w:rsidR="00D834FC">
              <w:t>ocal aerodrome requirements [C2(f)</w:t>
            </w:r>
            <w:r>
              <w:t>]</w:t>
            </w:r>
          </w:p>
          <w:p w:rsidR="00152BC1" w:rsidRDefault="00152BC1" w:rsidP="00C259D4">
            <w:pPr>
              <w:pStyle w:val="tablebullet1"/>
            </w:pPr>
            <w:r>
              <w:t>Variations t</w:t>
            </w:r>
            <w:r w:rsidR="00D834FC">
              <w:t>o planned fuel consumption [C4</w:t>
            </w:r>
            <w:r>
              <w:t>(h)]</w:t>
            </w:r>
          </w:p>
          <w:p w:rsidR="00152BC1" w:rsidRDefault="006A5A65" w:rsidP="00C259D4">
            <w:pPr>
              <w:pStyle w:val="tablebullet1"/>
            </w:pPr>
            <w:r>
              <w:t>O</w:t>
            </w:r>
            <w:r w:rsidRPr="00520577">
              <w:t>perating on different surfaces, including sealed and unsealed surfaces</w:t>
            </w:r>
            <w:r w:rsidR="00D834FC">
              <w:t xml:space="preserve"> [H1</w:t>
            </w:r>
            <w:r>
              <w:t>(d)]</w:t>
            </w:r>
          </w:p>
          <w:p w:rsidR="006A5A65" w:rsidRDefault="006A5A65" w:rsidP="00C259D4">
            <w:pPr>
              <w:pStyle w:val="tablebullet1"/>
            </w:pPr>
            <w:r>
              <w:t>Dynamic rollover [H1(h)]</w:t>
            </w:r>
          </w:p>
          <w:p w:rsidR="006A5A65" w:rsidRDefault="006A5A65" w:rsidP="006A5A65">
            <w:pPr>
              <w:pStyle w:val="tablebullet1"/>
            </w:pPr>
            <w:r>
              <w:t>L</w:t>
            </w:r>
            <w:r w:rsidRPr="00520577">
              <w:t>ocal noise abatement procedures and curfews</w:t>
            </w:r>
            <w:r w:rsidR="003556F0">
              <w:t xml:space="preserve"> if applicable [H1</w:t>
            </w:r>
            <w:r>
              <w:t>(i)]</w:t>
            </w:r>
          </w:p>
          <w:p w:rsidR="00830E80" w:rsidRDefault="00C4024F" w:rsidP="00830E80">
            <w:pPr>
              <w:pStyle w:val="tablebullet1"/>
            </w:pPr>
            <w:r>
              <w:t>H</w:t>
            </w:r>
            <w:r w:rsidRPr="006C2429">
              <w:t>eight-velocity diagram</w:t>
            </w:r>
            <w:r>
              <w:t xml:space="preserve"> [H2(a)</w:t>
            </w:r>
            <w:r w:rsidR="00830E80">
              <w:t>]</w:t>
            </w:r>
          </w:p>
          <w:p w:rsidR="00830E80" w:rsidRDefault="00830E80" w:rsidP="00830E80">
            <w:pPr>
              <w:pStyle w:val="tablebullet1"/>
            </w:pPr>
            <w:r>
              <w:t>Calculate helicopter performance [H2</w:t>
            </w:r>
            <w:r w:rsidR="00C4024F">
              <w:t>(b)</w:t>
            </w:r>
            <w:r>
              <w:t>]</w:t>
            </w:r>
          </w:p>
          <w:p w:rsidR="00C4024F" w:rsidRPr="008462C8" w:rsidRDefault="00830E80" w:rsidP="00830E80">
            <w:pPr>
              <w:pStyle w:val="tablebullet1"/>
            </w:pPr>
            <w:r>
              <w:t>Taxiway and runway markings [H2</w:t>
            </w:r>
            <w:r w:rsidR="00C4024F">
              <w:t>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C4024F" w:rsidP="00C259D4">
            <w:pPr>
              <w:pStyle w:val="tablebullet1"/>
            </w:pPr>
            <w:r>
              <w:t xml:space="preserve">Lookout for </w:t>
            </w:r>
            <w:r w:rsidR="00AB07D9">
              <w:t>loose objects</w:t>
            </w:r>
            <w:r>
              <w:t xml:space="preserve">, </w:t>
            </w:r>
            <w:r w:rsidR="00AB07D9">
              <w:t>obstacles and people</w:t>
            </w:r>
          </w:p>
          <w:p w:rsidR="00C4024F" w:rsidRDefault="00C4024F" w:rsidP="00C259D4">
            <w:pPr>
              <w:pStyle w:val="tablebullet1"/>
            </w:pPr>
            <w:r>
              <w:t>Listen out for traffic</w:t>
            </w:r>
          </w:p>
          <w:p w:rsidR="00C4024F" w:rsidRDefault="00C4024F" w:rsidP="00C259D4">
            <w:pPr>
              <w:pStyle w:val="tablebullet1"/>
            </w:pPr>
            <w:r>
              <w:t>Fitness for flight</w:t>
            </w:r>
          </w:p>
          <w:p w:rsidR="00C4024F" w:rsidRDefault="00C4024F" w:rsidP="00C259D4">
            <w:pPr>
              <w:pStyle w:val="tablebullet1"/>
            </w:pPr>
            <w:r>
              <w:t>Effects of fatigue</w:t>
            </w:r>
          </w:p>
          <w:p w:rsidR="00AB07D9" w:rsidRDefault="00AB07D9" w:rsidP="00C259D4">
            <w:pPr>
              <w:pStyle w:val="tablebullet1"/>
            </w:pPr>
            <w:r>
              <w:t>Ambient temperature and the effects of dehydration</w:t>
            </w:r>
          </w:p>
          <w:p w:rsidR="00AB07D9" w:rsidRDefault="00AB07D9" w:rsidP="00AB07D9">
            <w:pPr>
              <w:pStyle w:val="tablebullet1"/>
            </w:pPr>
            <w:r>
              <w:t>More frequent scanning of instruments is required due to h</w:t>
            </w:r>
            <w:r w:rsidR="00C4024F">
              <w:t xml:space="preserve">igher than </w:t>
            </w:r>
            <w:r>
              <w:t>normal</w:t>
            </w:r>
            <w:r w:rsidR="00C4024F">
              <w:t xml:space="preserve"> power use and fuel consumption</w:t>
            </w:r>
          </w:p>
          <w:p w:rsidR="00AB07D9" w:rsidRDefault="00AB07D9" w:rsidP="00AB07D9">
            <w:pPr>
              <w:pStyle w:val="tablebullet1"/>
            </w:pPr>
            <w:r>
              <w:t>Visual scanning technique</w:t>
            </w:r>
          </w:p>
          <w:p w:rsidR="00AB07D9" w:rsidRPr="008462C8" w:rsidRDefault="00AB07D9" w:rsidP="00AB07D9">
            <w:pPr>
              <w:pStyle w:val="tablebullet1"/>
            </w:pPr>
            <w:r>
              <w:t>Hand over/take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AB07D9" w:rsidRDefault="00AB07D9" w:rsidP="00AB07D9">
            <w:pPr>
              <w:pStyle w:val="tablebullet1"/>
            </w:pPr>
            <w:r>
              <w:t>Review flight sequences, what to expect, see &amp; do</w:t>
            </w:r>
          </w:p>
          <w:p w:rsidR="00AB07D9" w:rsidRDefault="00AB07D9" w:rsidP="00AB07D9">
            <w:pPr>
              <w:pStyle w:val="tablebullet1"/>
            </w:pPr>
            <w:r>
              <w:t>Check essential knowledge</w:t>
            </w:r>
          </w:p>
          <w:p w:rsidR="00AB07D9" w:rsidRDefault="00AB07D9" w:rsidP="00AB07D9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AB07D9" w:rsidP="00AB07D9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32E3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Default="00D0210B" w:rsidP="00D0210B">
            <w:pPr>
              <w:pStyle w:val="Element"/>
              <w:numPr>
                <w:ilvl w:val="0"/>
                <w:numId w:val="6"/>
              </w:numPr>
            </w:pPr>
            <w:r>
              <w:t>C1.1</w:t>
            </w:r>
          </w:p>
        </w:tc>
        <w:tc>
          <w:tcPr>
            <w:tcW w:w="8505" w:type="dxa"/>
          </w:tcPr>
          <w:p w:rsidR="00D0210B" w:rsidRPr="00946041" w:rsidRDefault="00D0210B" w:rsidP="0095680B">
            <w:pPr>
              <w:pStyle w:val="Heading3"/>
              <w:outlineLvl w:val="2"/>
            </w:pPr>
            <w: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pronounces words clearly, using an accent that does not cause difficulties in understanding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conveys information in clearly structured sentences without confusion or ambiguity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uses an extensive vocabulary to accurately communicate on general and technical topics, without excessive use of jargon, slang or colloquial language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speaks fluently without long pauses, repetition or excessive false starts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responds to communications with actions that demonstrate that the information has been received and understood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exchanges information clearly in a variety of situations with both expert and non-expert English speakers while giving and receiving timely and appropriate responses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946041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uses appropriate techniques to validate communications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Default="00D0210B" w:rsidP="00D0210B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505" w:type="dxa"/>
          </w:tcPr>
          <w:p w:rsidR="00D0210B" w:rsidRPr="00946041" w:rsidRDefault="00D0210B" w:rsidP="0095680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Pr="00946041" w:rsidRDefault="00D0210B" w:rsidP="00D0210B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D0210B" w:rsidRDefault="00D0210B" w:rsidP="00332E3C">
            <w:pPr>
              <w:pStyle w:val="Performancecriteriatext"/>
            </w:pPr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2F6F31" w:rsidRPr="00C05437" w:rsidTr="00D74C0B">
        <w:trPr>
          <w:trHeight w:val="227"/>
        </w:trPr>
        <w:tc>
          <w:tcPr>
            <w:tcW w:w="567" w:type="dxa"/>
          </w:tcPr>
          <w:p w:rsidR="002F6F31" w:rsidRPr="00946041" w:rsidRDefault="002F6F31" w:rsidP="0095680B"/>
        </w:tc>
        <w:tc>
          <w:tcPr>
            <w:tcW w:w="8505" w:type="dxa"/>
          </w:tcPr>
          <w:p w:rsidR="002F6F31" w:rsidRDefault="002F6F31" w:rsidP="0095680B">
            <w:pPr>
              <w:pStyle w:val="List-subelement"/>
              <w:numPr>
                <w:ilvl w:val="0"/>
                <w:numId w:val="0"/>
              </w:numPr>
            </w:pPr>
            <w:r w:rsidRPr="002F6F31"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F6F31" w:rsidRDefault="002F6F3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6F31" w:rsidRPr="00C05437" w:rsidRDefault="002F6F31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946041" w:rsidRDefault="0095680B" w:rsidP="0095680B"/>
        </w:tc>
        <w:tc>
          <w:tcPr>
            <w:tcW w:w="8505" w:type="dxa"/>
          </w:tcPr>
          <w:p w:rsidR="0095680B" w:rsidRPr="00946041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 xml:space="preserve">(ii) </w:t>
            </w:r>
            <w:r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 xml:space="preserve">(iii) weather </w:t>
            </w:r>
            <w:r w:rsidR="0065482E">
              <w:t>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B41996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7820D5" w:rsidP="0095680B">
            <w:pPr>
              <w:pStyle w:val="List-subelement"/>
              <w:numPr>
                <w:ilvl w:val="0"/>
                <w:numId w:val="0"/>
              </w:numPr>
              <w:rPr>
                <w:szCs w:val="16"/>
              </w:rPr>
            </w:pPr>
            <w:r>
              <w:rPr>
                <w:szCs w:val="16"/>
              </w:rPr>
              <w:t>(vi</w:t>
            </w:r>
            <w:r w:rsidR="0095680B">
              <w:rPr>
                <w:szCs w:val="16"/>
              </w:rPr>
              <w:t xml:space="preserve">) </w:t>
            </w:r>
            <w:r w:rsidR="0095680B" w:rsidRPr="00BD5122">
              <w:t>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7820D5" w:rsidRPr="00C05437" w:rsidTr="00307D8E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820D5" w:rsidRPr="005316CD" w:rsidRDefault="007820D5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  <w:vAlign w:val="center"/>
          </w:tcPr>
          <w:p w:rsidR="007820D5" w:rsidRDefault="007820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820D5" w:rsidRDefault="007820D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820D5" w:rsidRPr="00C05437" w:rsidRDefault="007820D5" w:rsidP="006E6B86">
            <w:pPr>
              <w:rPr>
                <w:sz w:val="16"/>
                <w:szCs w:val="16"/>
              </w:rPr>
            </w:pPr>
          </w:p>
        </w:tc>
      </w:tr>
      <w:tr w:rsidR="007820D5" w:rsidRPr="00C05437" w:rsidTr="00307D8E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820D5" w:rsidRPr="005316CD" w:rsidRDefault="007820D5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  <w:vAlign w:val="center"/>
          </w:tcPr>
          <w:p w:rsidR="007820D5" w:rsidRDefault="007820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820D5" w:rsidRDefault="007820D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820D5" w:rsidRPr="00C05437" w:rsidRDefault="007820D5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B41996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B41996" w:rsidRPr="00F42ECF" w:rsidRDefault="00B41996" w:rsidP="00B41996">
            <w:pPr>
              <w:pStyle w:val="Element"/>
              <w:numPr>
                <w:ilvl w:val="0"/>
                <w:numId w:val="6"/>
              </w:numPr>
              <w:jc w:val="left"/>
            </w:pPr>
            <w:r w:rsidRPr="00F42ECF">
              <w:lastRenderedPageBreak/>
              <w:t>H2.1</w:t>
            </w:r>
          </w:p>
        </w:tc>
        <w:tc>
          <w:tcPr>
            <w:tcW w:w="8505" w:type="dxa"/>
            <w:tcBorders>
              <w:left w:val="nil"/>
            </w:tcBorders>
          </w:tcPr>
          <w:p w:rsidR="00B41996" w:rsidRPr="00F42ECF" w:rsidRDefault="00B41996" w:rsidP="00307D8E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 xml:space="preserve">aircraft performance </w:t>
            </w:r>
            <w:r>
              <w:t xml:space="preserve">is </w:t>
            </w:r>
            <w:r w:rsidRPr="00F12FDF">
              <w:t>calculate</w:t>
            </w:r>
            <w:r>
              <w:t>d</w:t>
            </w:r>
            <w:r w:rsidRPr="00F12FDF">
              <w:t xml:space="preserve">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>pre-take-off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 xml:space="preserve">flight controls </w:t>
            </w:r>
            <w:r>
              <w:t xml:space="preserve">are </w:t>
            </w:r>
            <w:r w:rsidRPr="00F12FDF">
              <w:t>set to prepare for lift-off to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 xml:space="preserve">flight and power controls </w:t>
            </w:r>
            <w:r>
              <w:t xml:space="preserve">are used </w:t>
            </w:r>
            <w:r w:rsidRPr="00F12FDF">
              <w:t>to lift helicopter off the surface to a stable hover at the appropriate height for the helicopter while controlling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>wind effect</w:t>
            </w:r>
            <w:r>
              <w:t xml:space="preserve"> is</w:t>
            </w:r>
            <w:r w:rsidRPr="00F12FDF">
              <w:t xml:space="preserve"> anticipate</w:t>
            </w:r>
            <w:r>
              <w:t>d</w:t>
            </w:r>
            <w:r w:rsidRPr="00F12FDF">
              <w:t xml:space="preserve"> and account</w:t>
            </w:r>
            <w:r>
              <w:t>ed for</w:t>
            </w:r>
            <w:r w:rsidRPr="00F12FDF">
              <w:t xml:space="preserve"> with appropriate control inputs to maintain position over </w:t>
            </w:r>
            <w:r>
              <w:t xml:space="preserve">nominated </w:t>
            </w:r>
            <w:r w:rsidRPr="00F12FDF">
              <w:t>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>
              <w:t>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>
              <w:t xml:space="preserve">flight control functions, </w:t>
            </w:r>
            <w:r w:rsidRPr="00F12FDF">
              <w:t>centre of gravity and hover power requirements are checked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>at a constant and safe hover height, commence, maintain and stop a hover taxi manoeuvre while maintaining power and RRPM within the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345F1B">
              <w:t>coordinated corrective action is used to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345F1B">
              <w:t>implications of environmental conditions are assessed and appropriate compensation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345F1B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32E3C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  <w:tc>
          <w:tcPr>
            <w:tcW w:w="8363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</w:tr>
      <w:tr w:rsidR="00D36794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B41996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  <w:tc>
          <w:tcPr>
            <w:tcW w:w="8363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1996" w:rsidRPr="006E6B86" w:rsidRDefault="00B41996" w:rsidP="006E6B86"/>
        </w:tc>
        <w:tc>
          <w:tcPr>
            <w:tcW w:w="709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B419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B41996">
        <w:tc>
          <w:tcPr>
            <w:tcW w:w="10206" w:type="dxa"/>
            <w:tcBorders>
              <w:bottom w:val="single" w:sz="4" w:space="0" w:color="auto"/>
            </w:tcBorders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B41996" w:rsidRPr="006E6B86" w:rsidRDefault="00B41996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8E" w:rsidRDefault="00307D8E" w:rsidP="00061457">
      <w:r>
        <w:separator/>
      </w:r>
    </w:p>
  </w:endnote>
  <w:endnote w:type="continuationSeparator" w:id="0">
    <w:p w:rsidR="00307D8E" w:rsidRDefault="00307D8E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Default="008D71DF">
    <w:pPr>
      <w:pStyle w:val="Footer"/>
    </w:pPr>
    <w:proofErr w:type="gramStart"/>
    <w:r>
      <w:t>C</w:t>
    </w:r>
    <w:r w:rsidR="00307D8E">
      <w:t>PL(</w:t>
    </w:r>
    <w:proofErr w:type="gramEnd"/>
    <w:r w:rsidR="00307D8E">
      <w:t xml:space="preserve">H)  4 </w:t>
    </w:r>
    <w:r w:rsidR="00332E3C">
      <w:fldChar w:fldCharType="begin"/>
    </w:r>
    <w:r w:rsidR="00332E3C">
      <w:instrText xml:space="preserve"> DOCPROPERTY  Version  \* MERGEFORMAT </w:instrText>
    </w:r>
    <w:r w:rsidR="00332E3C">
      <w:fldChar w:fldCharType="separate"/>
    </w:r>
    <w:r w:rsidR="00332E3C">
      <w:t>v1.1</w:t>
    </w:r>
    <w:r w:rsidR="00332E3C">
      <w:fldChar w:fldCharType="end"/>
    </w:r>
    <w:r w:rsidR="00307D8E">
      <w:tab/>
    </w:r>
    <w:r w:rsidR="00307D8E" w:rsidRPr="00200FF0">
      <w:fldChar w:fldCharType="begin" w:fldLock="1"/>
    </w:r>
    <w:r w:rsidR="00307D8E" w:rsidRPr="00200FF0">
      <w:instrText xml:space="preserve"> DATE  \@ "MMMM yyyy" </w:instrText>
    </w:r>
    <w:r w:rsidR="00307D8E" w:rsidRPr="00200FF0">
      <w:fldChar w:fldCharType="separate"/>
    </w:r>
    <w:r w:rsidR="00332E3C">
      <w:rPr>
        <w:noProof/>
      </w:rPr>
      <w:t>October 2016</w:t>
    </w:r>
    <w:r w:rsidR="00307D8E" w:rsidRPr="00200FF0">
      <w:fldChar w:fldCharType="end"/>
    </w:r>
    <w:r w:rsidR="00307D8E">
      <w:tab/>
      <w:t xml:space="preserve">Page </w:t>
    </w:r>
    <w:r w:rsidR="00307D8E">
      <w:fldChar w:fldCharType="begin"/>
    </w:r>
    <w:r w:rsidR="00307D8E">
      <w:instrText xml:space="preserve"> PAGE </w:instrText>
    </w:r>
    <w:r w:rsidR="00307D8E">
      <w:fldChar w:fldCharType="separate"/>
    </w:r>
    <w:r w:rsidR="00332E3C">
      <w:rPr>
        <w:noProof/>
      </w:rPr>
      <w:t>2</w:t>
    </w:r>
    <w:r w:rsidR="00307D8E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Pr="00AB198B" w:rsidRDefault="008D71DF" w:rsidP="00682F97">
    <w:pPr>
      <w:pStyle w:val="Footer"/>
      <w:tabs>
        <w:tab w:val="left" w:pos="8010"/>
      </w:tabs>
    </w:pPr>
    <w:proofErr w:type="gramStart"/>
    <w:r>
      <w:t>C</w:t>
    </w:r>
    <w:r w:rsidR="00307D8E">
      <w:t>PL(</w:t>
    </w:r>
    <w:proofErr w:type="gramEnd"/>
    <w:r w:rsidR="00307D8E">
      <w:t xml:space="preserve">H)  4 </w:t>
    </w:r>
    <w:r w:rsidR="00332E3C">
      <w:fldChar w:fldCharType="begin"/>
    </w:r>
    <w:r w:rsidR="00332E3C">
      <w:instrText xml:space="preserve"> DOCPROPERTY  Version  \* MERGEFORMAT </w:instrText>
    </w:r>
    <w:r w:rsidR="00332E3C">
      <w:fldChar w:fldCharType="separate"/>
    </w:r>
    <w:r w:rsidR="00332E3C">
      <w:t>v1.1</w:t>
    </w:r>
    <w:r w:rsidR="00332E3C">
      <w:fldChar w:fldCharType="end"/>
    </w:r>
    <w:r w:rsidR="00307D8E">
      <w:tab/>
    </w:r>
    <w:r w:rsidR="00307D8E" w:rsidRPr="00200FF0">
      <w:fldChar w:fldCharType="begin" w:fldLock="1"/>
    </w:r>
    <w:r w:rsidR="00307D8E" w:rsidRPr="00200FF0">
      <w:instrText xml:space="preserve"> DATE  \@ "MMMM yyyy" </w:instrText>
    </w:r>
    <w:r w:rsidR="00307D8E" w:rsidRPr="00200FF0">
      <w:fldChar w:fldCharType="separate"/>
    </w:r>
    <w:r w:rsidR="00332E3C">
      <w:rPr>
        <w:noProof/>
      </w:rPr>
      <w:t>October 2016</w:t>
    </w:r>
    <w:r w:rsidR="00307D8E" w:rsidRPr="00200FF0">
      <w:fldChar w:fldCharType="end"/>
    </w:r>
    <w:r w:rsidR="00307D8E">
      <w:tab/>
    </w:r>
    <w:r w:rsidR="00307D8E">
      <w:tab/>
      <w:t xml:space="preserve">Page </w:t>
    </w:r>
    <w:r w:rsidR="00307D8E">
      <w:fldChar w:fldCharType="begin"/>
    </w:r>
    <w:r w:rsidR="00307D8E">
      <w:instrText xml:space="preserve"> PAGE </w:instrText>
    </w:r>
    <w:r w:rsidR="00307D8E">
      <w:fldChar w:fldCharType="separate"/>
    </w:r>
    <w:r w:rsidR="00332E3C">
      <w:rPr>
        <w:noProof/>
      </w:rPr>
      <w:t>1</w:t>
    </w:r>
    <w:r w:rsidR="00307D8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8E" w:rsidRDefault="00307D8E" w:rsidP="00061457">
      <w:r>
        <w:separator/>
      </w:r>
    </w:p>
  </w:footnote>
  <w:footnote w:type="continuationSeparator" w:id="0">
    <w:p w:rsidR="00307D8E" w:rsidRDefault="00307D8E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Default="00307D8E" w:rsidP="00682F97">
    <w:pPr>
      <w:pStyle w:val="Syllabuslessonplan"/>
    </w:pPr>
    <w:r>
      <w:t>LESSON PLAN and TRAINING Record</w:t>
    </w:r>
  </w:p>
  <w:p w:rsidR="00307D8E" w:rsidRDefault="008D71DF" w:rsidP="00682F97">
    <w:pPr>
      <w:pStyle w:val="Syllabuslessonplan"/>
    </w:pPr>
    <w:proofErr w:type="gramStart"/>
    <w:r>
      <w:t>C</w:t>
    </w:r>
    <w:r w:rsidR="00307D8E">
      <w:t>PL(</w:t>
    </w:r>
    <w:proofErr w:type="gramEnd"/>
    <w:r w:rsidR="00307D8E">
      <w:t>H) 4: Hover</w:t>
    </w:r>
  </w:p>
  <w:p w:rsidR="00307D8E" w:rsidRPr="00324A25" w:rsidRDefault="00307D8E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Pr="008525C8" w:rsidRDefault="00DD6C2B" w:rsidP="008525C8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>
      <w:rPr>
        <w:b/>
      </w:rPr>
      <w:t>Commercial</w:t>
    </w:r>
    <w:r w:rsidR="00307D8E" w:rsidRPr="008525C8">
      <w:rPr>
        <w:b/>
      </w:rPr>
      <w:t xml:space="preserve"> Pilot Licence – Helicopter Category Rating</w:t>
    </w:r>
  </w:p>
  <w:p w:rsidR="00307D8E" w:rsidRPr="006E6B86" w:rsidRDefault="00307D8E" w:rsidP="006E6B86"/>
  <w:p w:rsidR="00307D8E" w:rsidRPr="006E6B86" w:rsidRDefault="00307D8E" w:rsidP="00161953">
    <w:pPr>
      <w:pStyle w:val="Syllabuslessonplan"/>
    </w:pPr>
    <w:r w:rsidRPr="006E6B86">
      <w:t>LESSON PLAN AND TRAINING record</w:t>
    </w:r>
  </w:p>
  <w:p w:rsidR="00307D8E" w:rsidRPr="006E6B86" w:rsidRDefault="008D71DF" w:rsidP="00161953">
    <w:pPr>
      <w:pStyle w:val="Syllabuslessonplan"/>
    </w:pPr>
    <w:proofErr w:type="gramStart"/>
    <w:r>
      <w:t>C</w:t>
    </w:r>
    <w:r w:rsidR="00307D8E">
      <w:t>PL(</w:t>
    </w:r>
    <w:proofErr w:type="gramEnd"/>
    <w:r w:rsidR="00307D8E">
      <w:t>H) 4</w:t>
    </w:r>
    <w:r w:rsidR="00307D8E" w:rsidRPr="006E6B86">
      <w:t xml:space="preserve">: </w:t>
    </w:r>
    <w:r w:rsidR="00307D8E">
      <w:t>HOVER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C7F9E"/>
    <w:rsid w:val="000D47F5"/>
    <w:rsid w:val="000D4A95"/>
    <w:rsid w:val="000E1D15"/>
    <w:rsid w:val="000E49D1"/>
    <w:rsid w:val="000E5A5F"/>
    <w:rsid w:val="00103BEC"/>
    <w:rsid w:val="00121F4A"/>
    <w:rsid w:val="00123910"/>
    <w:rsid w:val="00152BC1"/>
    <w:rsid w:val="001530F0"/>
    <w:rsid w:val="0016037D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01A04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E3217"/>
    <w:rsid w:val="002F49DE"/>
    <w:rsid w:val="002F56AF"/>
    <w:rsid w:val="002F6F31"/>
    <w:rsid w:val="002F77A2"/>
    <w:rsid w:val="002F7C8A"/>
    <w:rsid w:val="00304595"/>
    <w:rsid w:val="00307D8E"/>
    <w:rsid w:val="00315BD8"/>
    <w:rsid w:val="00324A25"/>
    <w:rsid w:val="003326EA"/>
    <w:rsid w:val="00332E3C"/>
    <w:rsid w:val="003436D5"/>
    <w:rsid w:val="00350FFA"/>
    <w:rsid w:val="003528AF"/>
    <w:rsid w:val="003556F0"/>
    <w:rsid w:val="00374E67"/>
    <w:rsid w:val="003756A0"/>
    <w:rsid w:val="003776EE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52D9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5482E"/>
    <w:rsid w:val="00667595"/>
    <w:rsid w:val="006675B2"/>
    <w:rsid w:val="00672934"/>
    <w:rsid w:val="00682F97"/>
    <w:rsid w:val="00692468"/>
    <w:rsid w:val="006A21F2"/>
    <w:rsid w:val="006A5A65"/>
    <w:rsid w:val="006C3994"/>
    <w:rsid w:val="006D18B2"/>
    <w:rsid w:val="006E6B86"/>
    <w:rsid w:val="006F162F"/>
    <w:rsid w:val="00703A9D"/>
    <w:rsid w:val="00706119"/>
    <w:rsid w:val="00711982"/>
    <w:rsid w:val="00725AA5"/>
    <w:rsid w:val="007333CA"/>
    <w:rsid w:val="00763714"/>
    <w:rsid w:val="007820D5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30E80"/>
    <w:rsid w:val="00842D61"/>
    <w:rsid w:val="008462C8"/>
    <w:rsid w:val="008525C8"/>
    <w:rsid w:val="00863360"/>
    <w:rsid w:val="00872FBE"/>
    <w:rsid w:val="00873407"/>
    <w:rsid w:val="00874431"/>
    <w:rsid w:val="00875418"/>
    <w:rsid w:val="00876050"/>
    <w:rsid w:val="008A4AAD"/>
    <w:rsid w:val="008B133B"/>
    <w:rsid w:val="008D71DF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5680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07D9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0217"/>
    <w:rsid w:val="00B3661F"/>
    <w:rsid w:val="00B37A0D"/>
    <w:rsid w:val="00B41996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024F"/>
    <w:rsid w:val="00C60E41"/>
    <w:rsid w:val="00C65489"/>
    <w:rsid w:val="00CA3328"/>
    <w:rsid w:val="00CB3EA1"/>
    <w:rsid w:val="00CC31B3"/>
    <w:rsid w:val="00CE1FBA"/>
    <w:rsid w:val="00CE4AF5"/>
    <w:rsid w:val="00CF6151"/>
    <w:rsid w:val="00CF682E"/>
    <w:rsid w:val="00D0210B"/>
    <w:rsid w:val="00D03D76"/>
    <w:rsid w:val="00D13262"/>
    <w:rsid w:val="00D13CED"/>
    <w:rsid w:val="00D36794"/>
    <w:rsid w:val="00D36AA2"/>
    <w:rsid w:val="00D576C1"/>
    <w:rsid w:val="00D57CAE"/>
    <w:rsid w:val="00D74C0B"/>
    <w:rsid w:val="00D834FC"/>
    <w:rsid w:val="00D8789A"/>
    <w:rsid w:val="00D9681B"/>
    <w:rsid w:val="00DC136B"/>
    <w:rsid w:val="00DC7EAC"/>
    <w:rsid w:val="00DD6C2B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0210B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0210B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0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405BC-7787-4815-85D5-370442CC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2016-04-20T05:42:00Z</cp:lastPrinted>
  <dcterms:created xsi:type="dcterms:W3CDTF">2016-01-19T06:40:00Z</dcterms:created>
  <dcterms:modified xsi:type="dcterms:W3CDTF">2016-10-11T00:50:00Z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